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889FD" w14:textId="25D918F7" w:rsidR="005046BA" w:rsidRDefault="00D84C91">
      <w:r>
        <w:rPr>
          <w:noProof/>
        </w:rPr>
        <w:drawing>
          <wp:inline distT="0" distB="0" distL="0" distR="0" wp14:anchorId="149F89E2" wp14:editId="5525B21C">
            <wp:extent cx="1423358" cy="338453"/>
            <wp:effectExtent l="0" t="0" r="5715" b="5080"/>
            <wp:docPr id="1410236734"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236734" name="Picture 1" descr="A close up of a logo&#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435720" cy="341392"/>
                    </a:xfrm>
                    <a:prstGeom prst="rect">
                      <a:avLst/>
                    </a:prstGeom>
                  </pic:spPr>
                </pic:pic>
              </a:graphicData>
            </a:graphic>
          </wp:inline>
        </w:drawing>
      </w:r>
    </w:p>
    <w:p w14:paraId="76459488" w14:textId="77777777" w:rsidR="00D84C91" w:rsidRDefault="00D84C91"/>
    <w:p w14:paraId="128C980B" w14:textId="3FA2291E" w:rsidR="00D84C91" w:rsidRDefault="00D84C91" w:rsidP="00D84C91">
      <w:pPr>
        <w:jc w:val="center"/>
        <w:rPr>
          <w:b/>
          <w:bCs/>
          <w:u w:val="single"/>
        </w:rPr>
      </w:pPr>
      <w:r w:rsidRPr="00D84C91">
        <w:rPr>
          <w:b/>
          <w:bCs/>
          <w:u w:val="single"/>
        </w:rPr>
        <w:t xml:space="preserve">5 Year Plan </w:t>
      </w:r>
      <w:r>
        <w:rPr>
          <w:b/>
          <w:bCs/>
          <w:u w:val="single"/>
        </w:rPr>
        <w:t>–</w:t>
      </w:r>
      <w:r w:rsidRPr="00D84C91">
        <w:rPr>
          <w:b/>
          <w:bCs/>
          <w:u w:val="single"/>
        </w:rPr>
        <w:t xml:space="preserve"> Textiles</w:t>
      </w:r>
    </w:p>
    <w:p w14:paraId="143C6562" w14:textId="77777777" w:rsidR="00D84C91" w:rsidRDefault="00D84C91" w:rsidP="00D84C91">
      <w:r>
        <w:t>Textiles</w:t>
      </w:r>
      <w:r w:rsidRPr="00D84C91">
        <w:t xml:space="preserve"> provides pupils with the tools to be creative, ambitious and resilient.</w:t>
      </w:r>
    </w:p>
    <w:p w14:paraId="5CC700D3" w14:textId="51E51ADE" w:rsidR="0099541D" w:rsidRDefault="00D84C91" w:rsidP="00D84C91">
      <w:r w:rsidRPr="00D84C91">
        <w:t xml:space="preserve">At De Lacy Academy we stretch and challenge our pupils through experimentation and expression. We aim to teach practical </w:t>
      </w:r>
      <w:r>
        <w:t>Textiles</w:t>
      </w:r>
      <w:r w:rsidRPr="00D84C91">
        <w:t xml:space="preserve"> lessons, every lesson. This engages our pupils and fosters a love for the subject. We aim to give our pupils the skills and knowledge to further their education at college and beyond. The De Lacy journey begins with learning </w:t>
      </w:r>
      <w:r>
        <w:t>the basic skills needed to become a textiles artist</w:t>
      </w:r>
      <w:r w:rsidRPr="00D84C91">
        <w:t xml:space="preserve">. This gives our students a strong base which they can build upon. Our </w:t>
      </w:r>
      <w:r w:rsidR="0099541D">
        <w:t>student</w:t>
      </w:r>
      <w:r w:rsidRPr="00D84C91">
        <w:t xml:space="preserve">s look at their work and others with a critical mind and contextual knowledge. Throughout Key Stage 3 </w:t>
      </w:r>
      <w:r w:rsidR="0099541D">
        <w:t>student</w:t>
      </w:r>
      <w:r w:rsidRPr="00D84C91">
        <w:t xml:space="preserve">s will look at and be inspired by contemporary </w:t>
      </w:r>
      <w:r w:rsidR="0099541D">
        <w:t xml:space="preserve">textile </w:t>
      </w:r>
      <w:r w:rsidRPr="00D84C91">
        <w:t xml:space="preserve">artists. As each year passes, </w:t>
      </w:r>
      <w:r w:rsidR="0099541D">
        <w:t>student</w:t>
      </w:r>
      <w:r w:rsidRPr="00D84C91">
        <w:t xml:space="preserve">s will develop a more rigorous understanding of </w:t>
      </w:r>
      <w:r w:rsidR="0099541D">
        <w:t xml:space="preserve">textile </w:t>
      </w:r>
      <w:r w:rsidRPr="00D84C91">
        <w:t>art and the cultural world around them.</w:t>
      </w:r>
    </w:p>
    <w:p w14:paraId="79BB7F2F" w14:textId="77777777" w:rsidR="0099541D" w:rsidRDefault="00D84C91" w:rsidP="00D84C91">
      <w:r w:rsidRPr="00D84C91">
        <w:t xml:space="preserve"> Here at De Lacy, we truly want our</w:t>
      </w:r>
      <w:r w:rsidR="0099541D">
        <w:t xml:space="preserve"> students</w:t>
      </w:r>
      <w:r w:rsidRPr="00D84C91">
        <w:t xml:space="preserve"> to leave school with a love and understanding of </w:t>
      </w:r>
      <w:r w:rsidR="0099541D">
        <w:t>textiles</w:t>
      </w:r>
      <w:r w:rsidRPr="00D84C91">
        <w:t>. Our pupils at KS4 will be given much more freedom to express themselves through their own ideas. Students will work on briefs and themes which are designed to bring the best out of everyone. They will refine their skills and work to clear objectives. They will experiment with a wide range of materials and techniques. This broad approach will give pupils an opportunity to discover their specialist pathway for when they enter higher education. De Lacy students will work on sustained units of work that show how they have developed as a</w:t>
      </w:r>
      <w:r w:rsidR="0099541D">
        <w:t xml:space="preserve"> textile </w:t>
      </w:r>
      <w:r w:rsidRPr="00D84C91">
        <w:t xml:space="preserve">artist. Our teachers will demonstrate to question and challenge every single </w:t>
      </w:r>
      <w:r w:rsidR="0099541D">
        <w:t>student</w:t>
      </w:r>
      <w:r w:rsidRPr="00D84C91">
        <w:t xml:space="preserve"> over Key Stage 4 aiming to ensure learning that will be remembered for life. </w:t>
      </w:r>
    </w:p>
    <w:p w14:paraId="1AF4D51A" w14:textId="3B0C8D60" w:rsidR="00D84C91" w:rsidRDefault="00D84C91" w:rsidP="00D84C91">
      <w:r>
        <w:t xml:space="preserve">Here at De Lacy, we build passionate and reflective </w:t>
      </w:r>
      <w:r w:rsidR="0099541D">
        <w:t>student</w:t>
      </w:r>
      <w:r>
        <w:t xml:space="preserve">s through our curriculum to have a brave approach when developing skills with media and their techniques, using the physical act of </w:t>
      </w:r>
      <w:r w:rsidR="0099541D">
        <w:t xml:space="preserve">textile </w:t>
      </w:r>
      <w:r>
        <w:t>art as a tool for looking, experiencing and learning. Understanding and applying the formal elements of art across all disciplines: line, shape, form, tone, texture, pattern, colour and composition are vital in underpinning creative work and successful students, and this is reinforced throughout the curriculum. We are committed to nurturing resilient, ambitious and curious students who will embed creativity in their own futures, careers and everyday life.</w:t>
      </w:r>
    </w:p>
    <w:p w14:paraId="6DF0369B" w14:textId="2D5B3F12" w:rsidR="524C17CD" w:rsidRDefault="524C17CD"/>
    <w:tbl>
      <w:tblPr>
        <w:tblStyle w:val="TableGrid"/>
        <w:tblW w:w="0" w:type="auto"/>
        <w:tblLook w:val="04A0" w:firstRow="1" w:lastRow="0" w:firstColumn="1" w:lastColumn="0" w:noHBand="0" w:noVBand="1"/>
      </w:tblPr>
      <w:tblGrid>
        <w:gridCol w:w="2122"/>
        <w:gridCol w:w="7176"/>
        <w:gridCol w:w="4650"/>
      </w:tblGrid>
      <w:tr w:rsidR="0099541D" w14:paraId="1C2AEACB" w14:textId="77777777" w:rsidTr="524C17CD">
        <w:trPr>
          <w:trHeight w:val="300"/>
        </w:trPr>
        <w:tc>
          <w:tcPr>
            <w:tcW w:w="2122" w:type="dxa"/>
          </w:tcPr>
          <w:p w14:paraId="12C6BCCE" w14:textId="30398F2F" w:rsidR="0099541D" w:rsidRDefault="0099541D" w:rsidP="524C17CD">
            <w:pPr>
              <w:jc w:val="center"/>
              <w:rPr>
                <w:b/>
                <w:bCs/>
              </w:rPr>
            </w:pPr>
            <w:r w:rsidRPr="524C17CD">
              <w:rPr>
                <w:b/>
                <w:bCs/>
              </w:rPr>
              <w:t>Year 7</w:t>
            </w:r>
          </w:p>
        </w:tc>
        <w:tc>
          <w:tcPr>
            <w:tcW w:w="7176" w:type="dxa"/>
          </w:tcPr>
          <w:p w14:paraId="6D45F0BE" w14:textId="6BF6BAC8" w:rsidR="0099541D" w:rsidRDefault="0099541D" w:rsidP="524C17CD">
            <w:pPr>
              <w:jc w:val="center"/>
              <w:rPr>
                <w:b/>
                <w:bCs/>
              </w:rPr>
            </w:pPr>
            <w:r w:rsidRPr="524C17CD">
              <w:rPr>
                <w:b/>
                <w:bCs/>
              </w:rPr>
              <w:t>Rotation 1</w:t>
            </w:r>
          </w:p>
        </w:tc>
        <w:tc>
          <w:tcPr>
            <w:tcW w:w="4650" w:type="dxa"/>
          </w:tcPr>
          <w:p w14:paraId="2F3194EC" w14:textId="24E553C9" w:rsidR="0099541D" w:rsidRDefault="0099541D" w:rsidP="524C17CD">
            <w:pPr>
              <w:jc w:val="center"/>
              <w:rPr>
                <w:b/>
                <w:bCs/>
              </w:rPr>
            </w:pPr>
            <w:r w:rsidRPr="524C17CD">
              <w:rPr>
                <w:b/>
                <w:bCs/>
              </w:rPr>
              <w:t>Rotation 2</w:t>
            </w:r>
          </w:p>
        </w:tc>
      </w:tr>
      <w:tr w:rsidR="0099541D" w14:paraId="21C7640F" w14:textId="77777777" w:rsidTr="524C17CD">
        <w:trPr>
          <w:trHeight w:val="300"/>
        </w:trPr>
        <w:tc>
          <w:tcPr>
            <w:tcW w:w="2122" w:type="dxa"/>
          </w:tcPr>
          <w:p w14:paraId="357E250B" w14:textId="2276EA51" w:rsidR="0099541D" w:rsidRDefault="0099541D" w:rsidP="00D84C91">
            <w:r>
              <w:t>Knowledge</w:t>
            </w:r>
          </w:p>
        </w:tc>
        <w:tc>
          <w:tcPr>
            <w:tcW w:w="7176" w:type="dxa"/>
          </w:tcPr>
          <w:p w14:paraId="64979B08" w14:textId="58782FEB" w:rsidR="0099541D" w:rsidRDefault="023401EA" w:rsidP="00D84C91">
            <w:r>
              <w:t>PUNKY PUPPETS -</w:t>
            </w:r>
          </w:p>
          <w:p w14:paraId="15F7CBCF" w14:textId="216BFC8A" w:rsidR="0099541D" w:rsidRDefault="023401EA" w:rsidP="00D84C91">
            <w:r>
              <w:t>Understand the concept behind design and manufacturing. Students will also gain a greater depth of understanding around personality traits</w:t>
            </w:r>
          </w:p>
          <w:p w14:paraId="435FF2C9" w14:textId="53017AA7" w:rsidR="0099541D" w:rsidRDefault="0099541D" w:rsidP="00D84C91"/>
        </w:tc>
        <w:tc>
          <w:tcPr>
            <w:tcW w:w="4650" w:type="dxa"/>
          </w:tcPr>
          <w:p w14:paraId="52F1D00D" w14:textId="59E956AC" w:rsidR="0099541D" w:rsidRDefault="72908942" w:rsidP="00D84C91">
            <w:r>
              <w:t>NATURE CASES – Students will gain a greater understanding of manufacturing using a sewing machine</w:t>
            </w:r>
          </w:p>
        </w:tc>
      </w:tr>
      <w:tr w:rsidR="0099541D" w14:paraId="5B2BD11B" w14:textId="77777777" w:rsidTr="524C17CD">
        <w:trPr>
          <w:trHeight w:val="300"/>
        </w:trPr>
        <w:tc>
          <w:tcPr>
            <w:tcW w:w="2122" w:type="dxa"/>
          </w:tcPr>
          <w:p w14:paraId="7956450C" w14:textId="40C791C8" w:rsidR="0099541D" w:rsidRDefault="0099541D" w:rsidP="00D84C91">
            <w:r>
              <w:t>Skills</w:t>
            </w:r>
          </w:p>
        </w:tc>
        <w:tc>
          <w:tcPr>
            <w:tcW w:w="7176" w:type="dxa"/>
          </w:tcPr>
          <w:p w14:paraId="22063E54" w14:textId="5CA7A42A" w:rsidR="0099541D" w:rsidRDefault="2DBB2F4D" w:rsidP="00D84C91">
            <w:r>
              <w:t>Product design</w:t>
            </w:r>
          </w:p>
          <w:p w14:paraId="429AA703" w14:textId="7204D55B" w:rsidR="0099541D" w:rsidRDefault="2DBB2F4D" w:rsidP="00D84C91">
            <w:r>
              <w:t>Hand embroidery</w:t>
            </w:r>
          </w:p>
          <w:p w14:paraId="69D9D490" w14:textId="103568DE" w:rsidR="0099541D" w:rsidRDefault="2DBB2F4D" w:rsidP="00D84C91">
            <w:r>
              <w:t>Applique and embellishments</w:t>
            </w:r>
          </w:p>
          <w:p w14:paraId="7DA3E700" w14:textId="16B84BE4" w:rsidR="0099541D" w:rsidRDefault="2DBB2F4D" w:rsidP="00D84C91">
            <w:r>
              <w:t xml:space="preserve">Peer and </w:t>
            </w:r>
            <w:r w:rsidR="40D16356">
              <w:t>self-reviews</w:t>
            </w:r>
            <w:r>
              <w:t>.</w:t>
            </w:r>
          </w:p>
        </w:tc>
        <w:tc>
          <w:tcPr>
            <w:tcW w:w="4650" w:type="dxa"/>
          </w:tcPr>
          <w:p w14:paraId="14002E79" w14:textId="451DDFED" w:rsidR="0099541D" w:rsidRDefault="218425FC" w:rsidP="00D84C91">
            <w:proofErr w:type="gramStart"/>
            <w:r>
              <w:t>Product</w:t>
            </w:r>
            <w:proofErr w:type="gramEnd"/>
            <w:r>
              <w:t xml:space="preserve"> deign</w:t>
            </w:r>
          </w:p>
          <w:p w14:paraId="70632F11" w14:textId="6F5EA1E0" w:rsidR="0099541D" w:rsidRDefault="218425FC" w:rsidP="00D84C91">
            <w:r>
              <w:t>Printing – Block, relief, flower pounding</w:t>
            </w:r>
          </w:p>
          <w:p w14:paraId="6092F142" w14:textId="2DA0E945" w:rsidR="0099541D" w:rsidRDefault="218425FC" w:rsidP="00D84C91">
            <w:r>
              <w:t>Machine skills</w:t>
            </w:r>
          </w:p>
          <w:p w14:paraId="13E1DEC4" w14:textId="54A47A38" w:rsidR="0099541D" w:rsidRDefault="218425FC" w:rsidP="00D84C91">
            <w:r>
              <w:t>Using heat</w:t>
            </w:r>
          </w:p>
        </w:tc>
      </w:tr>
      <w:tr w:rsidR="0099541D" w14:paraId="75275C18" w14:textId="77777777" w:rsidTr="524C17CD">
        <w:trPr>
          <w:trHeight w:val="300"/>
        </w:trPr>
        <w:tc>
          <w:tcPr>
            <w:tcW w:w="2122" w:type="dxa"/>
          </w:tcPr>
          <w:p w14:paraId="46F2E997" w14:textId="7D35BA2E" w:rsidR="0099541D" w:rsidRDefault="0099541D" w:rsidP="00D84C91">
            <w:r>
              <w:t>Literacy Focus</w:t>
            </w:r>
          </w:p>
        </w:tc>
        <w:tc>
          <w:tcPr>
            <w:tcW w:w="7176" w:type="dxa"/>
          </w:tcPr>
          <w:p w14:paraId="6FF82397" w14:textId="5F83B96D" w:rsidR="0099541D" w:rsidRDefault="7F962E1A" w:rsidP="00D84C91">
            <w:r>
              <w:t>Reading around personality traits</w:t>
            </w:r>
          </w:p>
        </w:tc>
        <w:tc>
          <w:tcPr>
            <w:tcW w:w="4650" w:type="dxa"/>
          </w:tcPr>
          <w:p w14:paraId="44F5468B" w14:textId="26441D06" w:rsidR="0099541D" w:rsidRDefault="7F962E1A" w:rsidP="00D84C91">
            <w:r>
              <w:t>Artist research</w:t>
            </w:r>
          </w:p>
          <w:p w14:paraId="1D7A3A9D" w14:textId="3BD7C1E7" w:rsidR="0099541D" w:rsidRDefault="0099541D" w:rsidP="00D84C91"/>
        </w:tc>
      </w:tr>
      <w:tr w:rsidR="524C17CD" w14:paraId="206B830A" w14:textId="77777777" w:rsidTr="524C17CD">
        <w:trPr>
          <w:trHeight w:val="300"/>
        </w:trPr>
        <w:tc>
          <w:tcPr>
            <w:tcW w:w="2122" w:type="dxa"/>
          </w:tcPr>
          <w:p w14:paraId="173C58D2" w14:textId="6D41A53D" w:rsidR="3821BA93" w:rsidRDefault="3821BA93">
            <w:r w:rsidRPr="524C17CD">
              <w:rPr>
                <w:rFonts w:ascii="Aptos" w:eastAsia="Aptos" w:hAnsi="Aptos" w:cs="Aptos"/>
              </w:rPr>
              <w:t>Links to Prior Learning</w:t>
            </w:r>
          </w:p>
        </w:tc>
        <w:tc>
          <w:tcPr>
            <w:tcW w:w="7176" w:type="dxa"/>
          </w:tcPr>
          <w:p w14:paraId="7BB0D826" w14:textId="7355D990" w:rsidR="7CC77FE9" w:rsidRDefault="7CC77FE9" w:rsidP="524C17CD">
            <w:pPr>
              <w:rPr>
                <w:rFonts w:ascii="Aptos" w:eastAsia="Aptos" w:hAnsi="Aptos" w:cs="Aptos"/>
              </w:rPr>
            </w:pPr>
            <w:r w:rsidRPr="524C17CD">
              <w:rPr>
                <w:rFonts w:ascii="Aptos" w:eastAsia="Aptos" w:hAnsi="Aptos" w:cs="Aptos"/>
              </w:rPr>
              <w:t>R</w:t>
            </w:r>
            <w:r w:rsidR="3821BA93" w:rsidRPr="524C17CD">
              <w:rPr>
                <w:rFonts w:ascii="Aptos" w:eastAsia="Aptos" w:hAnsi="Aptos" w:cs="Aptos"/>
              </w:rPr>
              <w:t xml:space="preserve">esearch develops by looking at </w:t>
            </w:r>
            <w:r w:rsidR="42ACB6A6" w:rsidRPr="524C17CD">
              <w:rPr>
                <w:rFonts w:ascii="Aptos" w:eastAsia="Aptos" w:hAnsi="Aptos" w:cs="Aptos"/>
              </w:rPr>
              <w:t xml:space="preserve">Textiles </w:t>
            </w:r>
            <w:r w:rsidR="3821BA93" w:rsidRPr="524C17CD">
              <w:rPr>
                <w:rFonts w:ascii="Aptos" w:eastAsia="Aptos" w:hAnsi="Aptos" w:cs="Aptos"/>
              </w:rPr>
              <w:t>artists</w:t>
            </w:r>
            <w:r w:rsidR="6D1468AB" w:rsidRPr="524C17CD">
              <w:rPr>
                <w:rFonts w:ascii="Aptos" w:eastAsia="Aptos" w:hAnsi="Aptos" w:cs="Aptos"/>
              </w:rPr>
              <w:t>. Understanding of personality traits</w:t>
            </w:r>
          </w:p>
        </w:tc>
        <w:tc>
          <w:tcPr>
            <w:tcW w:w="4650" w:type="dxa"/>
          </w:tcPr>
          <w:p w14:paraId="3367E3C9" w14:textId="7DC69E8E" w:rsidR="3C80D30F" w:rsidRDefault="3C80D30F" w:rsidP="524C17CD">
            <w:pPr>
              <w:rPr>
                <w:rFonts w:ascii="Aptos" w:eastAsia="Aptos" w:hAnsi="Aptos" w:cs="Aptos"/>
              </w:rPr>
            </w:pPr>
            <w:r w:rsidRPr="524C17CD">
              <w:rPr>
                <w:rFonts w:ascii="Aptos" w:eastAsia="Aptos" w:hAnsi="Aptos" w:cs="Aptos"/>
              </w:rPr>
              <w:t xml:space="preserve">More </w:t>
            </w:r>
            <w:proofErr w:type="gramStart"/>
            <w:r w:rsidRPr="524C17CD">
              <w:rPr>
                <w:rFonts w:ascii="Aptos" w:eastAsia="Aptos" w:hAnsi="Aptos" w:cs="Aptos"/>
              </w:rPr>
              <w:t>in depth</w:t>
            </w:r>
            <w:proofErr w:type="gramEnd"/>
            <w:r w:rsidRPr="524C17CD">
              <w:rPr>
                <w:rFonts w:ascii="Aptos" w:eastAsia="Aptos" w:hAnsi="Aptos" w:cs="Aptos"/>
              </w:rPr>
              <w:t xml:space="preserve"> artist research. This builds on student’s artist knowledge and research/analysing skills. </w:t>
            </w:r>
          </w:p>
        </w:tc>
      </w:tr>
      <w:tr w:rsidR="524C17CD" w14:paraId="63163136" w14:textId="77777777" w:rsidTr="524C17CD">
        <w:trPr>
          <w:trHeight w:val="300"/>
        </w:trPr>
        <w:tc>
          <w:tcPr>
            <w:tcW w:w="2122" w:type="dxa"/>
          </w:tcPr>
          <w:p w14:paraId="6817ADA7" w14:textId="2E4ED423" w:rsidR="3821BA93" w:rsidRDefault="3821BA93">
            <w:r w:rsidRPr="524C17CD">
              <w:rPr>
                <w:rFonts w:ascii="Aptos" w:eastAsia="Aptos" w:hAnsi="Aptos" w:cs="Aptos"/>
              </w:rPr>
              <w:t>Preparation to future learning</w:t>
            </w:r>
          </w:p>
        </w:tc>
        <w:tc>
          <w:tcPr>
            <w:tcW w:w="7176" w:type="dxa"/>
          </w:tcPr>
          <w:p w14:paraId="460F35C1" w14:textId="53ED5624" w:rsidR="06320857" w:rsidRDefault="06320857">
            <w:r w:rsidRPr="524C17CD">
              <w:rPr>
                <w:rFonts w:ascii="Aptos" w:eastAsia="Aptos" w:hAnsi="Aptos" w:cs="Aptos"/>
              </w:rPr>
              <w:t xml:space="preserve">Artist research: Students learn how to research an artist and make creative pages </w:t>
            </w:r>
          </w:p>
          <w:p w14:paraId="0B283A69" w14:textId="5C2D4D1B" w:rsidR="524C17CD" w:rsidRDefault="524C17CD" w:rsidP="524C17CD">
            <w:pPr>
              <w:rPr>
                <w:rFonts w:ascii="Aptos" w:eastAsia="Aptos" w:hAnsi="Aptos" w:cs="Aptos"/>
              </w:rPr>
            </w:pPr>
          </w:p>
          <w:p w14:paraId="546C66C7" w14:textId="04286DF0" w:rsidR="06320857" w:rsidRDefault="06320857">
            <w:r w:rsidRPr="524C17CD">
              <w:rPr>
                <w:rFonts w:ascii="Aptos" w:eastAsia="Aptos" w:hAnsi="Aptos" w:cs="Aptos"/>
                <w:u w:val="single"/>
              </w:rPr>
              <w:t xml:space="preserve">Experimentation: </w:t>
            </w:r>
            <w:r w:rsidRPr="524C17CD">
              <w:rPr>
                <w:rFonts w:ascii="Aptos" w:eastAsia="Aptos" w:hAnsi="Aptos" w:cs="Aptos"/>
              </w:rPr>
              <w:t xml:space="preserve">Students learn how to control and experiment with different material and processes. </w:t>
            </w:r>
          </w:p>
          <w:p w14:paraId="46A5FA39" w14:textId="27ECF9A9" w:rsidR="06320857" w:rsidRDefault="06320857">
            <w:r w:rsidRPr="524C17CD">
              <w:rPr>
                <w:rFonts w:ascii="Aptos" w:eastAsia="Aptos" w:hAnsi="Aptos" w:cs="Aptos"/>
                <w:u w:val="single"/>
              </w:rPr>
              <w:t xml:space="preserve">Creating ideas </w:t>
            </w:r>
            <w:r w:rsidRPr="524C17CD">
              <w:rPr>
                <w:rFonts w:ascii="Aptos" w:eastAsia="Aptos" w:hAnsi="Aptos" w:cs="Aptos"/>
              </w:rPr>
              <w:t>– students start to develop their skills in creating ideas</w:t>
            </w:r>
          </w:p>
        </w:tc>
        <w:tc>
          <w:tcPr>
            <w:tcW w:w="4650" w:type="dxa"/>
          </w:tcPr>
          <w:p w14:paraId="185758BA" w14:textId="6D56052C" w:rsidR="7B7D23A0" w:rsidRDefault="7B7D23A0">
            <w:r w:rsidRPr="524C17CD">
              <w:rPr>
                <w:rFonts w:ascii="Aptos" w:eastAsia="Aptos" w:hAnsi="Aptos" w:cs="Aptos"/>
              </w:rPr>
              <w:t>Developing original ideas for a final piece is introduced. The creation of final piece will be introduced.</w:t>
            </w:r>
          </w:p>
        </w:tc>
      </w:tr>
      <w:tr w:rsidR="0099541D" w14:paraId="6E4E622E" w14:textId="77777777" w:rsidTr="524C17CD">
        <w:trPr>
          <w:trHeight w:val="360"/>
        </w:trPr>
        <w:tc>
          <w:tcPr>
            <w:tcW w:w="2122" w:type="dxa"/>
          </w:tcPr>
          <w:p w14:paraId="0204F45E" w14:textId="64147439" w:rsidR="0099541D" w:rsidRDefault="0099541D" w:rsidP="00D84C91">
            <w:r>
              <w:t>Assessment</w:t>
            </w:r>
          </w:p>
        </w:tc>
        <w:tc>
          <w:tcPr>
            <w:tcW w:w="7176" w:type="dxa"/>
          </w:tcPr>
          <w:p w14:paraId="131F6024" w14:textId="6D55EB01" w:rsidR="0099541D" w:rsidRDefault="63C628F6" w:rsidP="524C17CD">
            <w:pPr>
              <w:rPr>
                <w:rFonts w:ascii="Aptos" w:eastAsia="Aptos" w:hAnsi="Aptos" w:cs="Aptos"/>
              </w:rPr>
            </w:pPr>
            <w:r w:rsidRPr="524C17CD">
              <w:rPr>
                <w:rFonts w:ascii="Aptos" w:eastAsia="Aptos" w:hAnsi="Aptos" w:cs="Aptos"/>
              </w:rPr>
              <w:t xml:space="preserve">Formative feedback through learning journey green pen/summative assessment at the end of rotation in Enrichment assessment </w:t>
            </w:r>
            <w:r w:rsidR="1C246BB2" w:rsidRPr="524C17CD">
              <w:rPr>
                <w:rFonts w:ascii="Aptos" w:eastAsia="Aptos" w:hAnsi="Aptos" w:cs="Aptos"/>
              </w:rPr>
              <w:t>handbook</w:t>
            </w:r>
          </w:p>
        </w:tc>
        <w:tc>
          <w:tcPr>
            <w:tcW w:w="4650" w:type="dxa"/>
          </w:tcPr>
          <w:p w14:paraId="439BC760" w14:textId="6D55EB01" w:rsidR="0099541D" w:rsidRDefault="6380D502" w:rsidP="524C17CD">
            <w:pPr>
              <w:rPr>
                <w:rFonts w:ascii="Aptos" w:eastAsia="Aptos" w:hAnsi="Aptos" w:cs="Aptos"/>
              </w:rPr>
            </w:pPr>
            <w:r w:rsidRPr="524C17CD">
              <w:rPr>
                <w:rFonts w:ascii="Aptos" w:eastAsia="Aptos" w:hAnsi="Aptos" w:cs="Aptos"/>
              </w:rPr>
              <w:t>Formative feedback through learning journey green pen/summative assessment at the end of rotation in Enrichment assessment handbook</w:t>
            </w:r>
          </w:p>
          <w:p w14:paraId="29C6E453" w14:textId="77777777" w:rsidR="00B32DEE" w:rsidRDefault="00B32DEE" w:rsidP="524C17CD">
            <w:pPr>
              <w:rPr>
                <w:rFonts w:ascii="Aptos" w:eastAsia="Aptos" w:hAnsi="Aptos" w:cs="Aptos"/>
              </w:rPr>
            </w:pPr>
          </w:p>
          <w:p w14:paraId="35B7FC14" w14:textId="764C8B92" w:rsidR="0099541D" w:rsidRDefault="0099541D" w:rsidP="00D84C91"/>
        </w:tc>
      </w:tr>
      <w:tr w:rsidR="524C17CD" w14:paraId="2BE6E557" w14:textId="77777777" w:rsidTr="524C17CD">
        <w:trPr>
          <w:trHeight w:val="360"/>
        </w:trPr>
        <w:tc>
          <w:tcPr>
            <w:tcW w:w="2122" w:type="dxa"/>
          </w:tcPr>
          <w:p w14:paraId="71BE4255" w14:textId="5DCEE377" w:rsidR="524C17CD" w:rsidRDefault="524C17CD" w:rsidP="524C17CD">
            <w:pPr>
              <w:jc w:val="center"/>
              <w:rPr>
                <w:b/>
                <w:bCs/>
              </w:rPr>
            </w:pPr>
            <w:r w:rsidRPr="524C17CD">
              <w:rPr>
                <w:b/>
                <w:bCs/>
              </w:rPr>
              <w:lastRenderedPageBreak/>
              <w:t xml:space="preserve">Year </w:t>
            </w:r>
            <w:r w:rsidR="21D9A7A8" w:rsidRPr="524C17CD">
              <w:rPr>
                <w:b/>
                <w:bCs/>
              </w:rPr>
              <w:t>8</w:t>
            </w:r>
          </w:p>
        </w:tc>
        <w:tc>
          <w:tcPr>
            <w:tcW w:w="7176" w:type="dxa"/>
          </w:tcPr>
          <w:p w14:paraId="27B60C85" w14:textId="6BF6BAC8" w:rsidR="524C17CD" w:rsidRDefault="524C17CD" w:rsidP="524C17CD">
            <w:pPr>
              <w:jc w:val="center"/>
              <w:rPr>
                <w:b/>
                <w:bCs/>
              </w:rPr>
            </w:pPr>
            <w:r w:rsidRPr="524C17CD">
              <w:rPr>
                <w:b/>
                <w:bCs/>
              </w:rPr>
              <w:t>Rotation 1</w:t>
            </w:r>
          </w:p>
        </w:tc>
        <w:tc>
          <w:tcPr>
            <w:tcW w:w="4650" w:type="dxa"/>
          </w:tcPr>
          <w:p w14:paraId="0E8C4E28" w14:textId="24E553C9" w:rsidR="524C17CD" w:rsidRDefault="524C17CD" w:rsidP="524C17CD">
            <w:pPr>
              <w:jc w:val="center"/>
              <w:rPr>
                <w:b/>
                <w:bCs/>
              </w:rPr>
            </w:pPr>
            <w:r w:rsidRPr="524C17CD">
              <w:rPr>
                <w:b/>
                <w:bCs/>
              </w:rPr>
              <w:t>Rotation 2</w:t>
            </w:r>
          </w:p>
        </w:tc>
      </w:tr>
      <w:tr w:rsidR="524C17CD" w14:paraId="6EA757D9" w14:textId="77777777" w:rsidTr="524C17CD">
        <w:trPr>
          <w:trHeight w:val="360"/>
        </w:trPr>
        <w:tc>
          <w:tcPr>
            <w:tcW w:w="2122" w:type="dxa"/>
          </w:tcPr>
          <w:p w14:paraId="142D5FDB" w14:textId="2276EA51" w:rsidR="524C17CD" w:rsidRDefault="524C17CD">
            <w:r>
              <w:t>Knowledge</w:t>
            </w:r>
          </w:p>
        </w:tc>
        <w:tc>
          <w:tcPr>
            <w:tcW w:w="7176" w:type="dxa"/>
          </w:tcPr>
          <w:p w14:paraId="483B788C" w14:textId="761A4CD1" w:rsidR="6219EE36" w:rsidRDefault="6219EE36">
            <w:r>
              <w:t>DAY OF THE DEAD</w:t>
            </w:r>
          </w:p>
          <w:p w14:paraId="159B4290" w14:textId="00402FF9" w:rsidR="6219EE36" w:rsidRDefault="6219EE36">
            <w:r>
              <w:t>Students will learn about the Mexican celebration of Day of the Dead and explore their traditions. They will manufacture a small soft toy based on the symbols and meaning behind the celebration.</w:t>
            </w:r>
          </w:p>
        </w:tc>
        <w:tc>
          <w:tcPr>
            <w:tcW w:w="4650" w:type="dxa"/>
          </w:tcPr>
          <w:p w14:paraId="1D52CCF0" w14:textId="6A2329DB" w:rsidR="6219EE36" w:rsidRDefault="6219EE36">
            <w:r>
              <w:t>BANKSY BAG</w:t>
            </w:r>
          </w:p>
          <w:p w14:paraId="1680700F" w14:textId="4984F91E" w:rsidR="6219EE36" w:rsidRDefault="6219EE36">
            <w:r>
              <w:t>Students will build on the printing skills they have developed in Yera 7 by creating a stencil that can be used to make a tote bag. They will use the sewing machine to create the bag,</w:t>
            </w:r>
          </w:p>
        </w:tc>
      </w:tr>
      <w:tr w:rsidR="524C17CD" w14:paraId="13B76A71" w14:textId="77777777" w:rsidTr="524C17CD">
        <w:trPr>
          <w:trHeight w:val="360"/>
        </w:trPr>
        <w:tc>
          <w:tcPr>
            <w:tcW w:w="2122" w:type="dxa"/>
          </w:tcPr>
          <w:p w14:paraId="7D843D14" w14:textId="40C791C8" w:rsidR="524C17CD" w:rsidRDefault="524C17CD">
            <w:r>
              <w:t>Skills</w:t>
            </w:r>
          </w:p>
        </w:tc>
        <w:tc>
          <w:tcPr>
            <w:tcW w:w="7176" w:type="dxa"/>
          </w:tcPr>
          <w:p w14:paraId="046582F9" w14:textId="5CA7A42A" w:rsidR="524C17CD" w:rsidRDefault="524C17CD">
            <w:r>
              <w:t>Product design</w:t>
            </w:r>
          </w:p>
          <w:p w14:paraId="77F14C50" w14:textId="717F7B97" w:rsidR="2B29C043" w:rsidRDefault="2B29C043">
            <w:r>
              <w:t xml:space="preserve">Advanced </w:t>
            </w:r>
            <w:r w:rsidR="524C17CD">
              <w:t>Hand embroidery</w:t>
            </w:r>
          </w:p>
          <w:p w14:paraId="0E7584ED" w14:textId="103568DE" w:rsidR="524C17CD" w:rsidRDefault="524C17CD">
            <w:r>
              <w:t>Applique and embellishments</w:t>
            </w:r>
          </w:p>
          <w:p w14:paraId="44648641" w14:textId="16B84BE4" w:rsidR="524C17CD" w:rsidRDefault="524C17CD">
            <w:r>
              <w:t>Peer and self-reviews.</w:t>
            </w:r>
          </w:p>
        </w:tc>
        <w:tc>
          <w:tcPr>
            <w:tcW w:w="4650" w:type="dxa"/>
          </w:tcPr>
          <w:p w14:paraId="6497BE60" w14:textId="451DDFED" w:rsidR="524C17CD" w:rsidRDefault="524C17CD">
            <w:proofErr w:type="gramStart"/>
            <w:r>
              <w:t>Product</w:t>
            </w:r>
            <w:proofErr w:type="gramEnd"/>
            <w:r>
              <w:t xml:space="preserve"> deign</w:t>
            </w:r>
          </w:p>
          <w:p w14:paraId="01E477E1" w14:textId="6CD0C0D3" w:rsidR="524C17CD" w:rsidRDefault="524C17CD">
            <w:r>
              <w:t xml:space="preserve">Printing – </w:t>
            </w:r>
            <w:r w:rsidR="33DD20DE">
              <w:t>stencil making</w:t>
            </w:r>
          </w:p>
          <w:p w14:paraId="245ABE1D" w14:textId="2DA0E945" w:rsidR="524C17CD" w:rsidRDefault="524C17CD">
            <w:r>
              <w:t>Machine skills</w:t>
            </w:r>
          </w:p>
          <w:p w14:paraId="34EC8E16" w14:textId="54A47A38" w:rsidR="524C17CD" w:rsidRDefault="524C17CD">
            <w:r>
              <w:t>Using heat</w:t>
            </w:r>
          </w:p>
        </w:tc>
      </w:tr>
      <w:tr w:rsidR="524C17CD" w14:paraId="11ADBD1B" w14:textId="77777777" w:rsidTr="524C17CD">
        <w:trPr>
          <w:trHeight w:val="360"/>
        </w:trPr>
        <w:tc>
          <w:tcPr>
            <w:tcW w:w="2122" w:type="dxa"/>
          </w:tcPr>
          <w:p w14:paraId="65DDCEBB" w14:textId="7D35BA2E" w:rsidR="524C17CD" w:rsidRDefault="524C17CD">
            <w:r>
              <w:t>Literacy Focus</w:t>
            </w:r>
          </w:p>
        </w:tc>
        <w:tc>
          <w:tcPr>
            <w:tcW w:w="7176" w:type="dxa"/>
          </w:tcPr>
          <w:p w14:paraId="25FC0D61" w14:textId="2D5C5186" w:rsidR="2BCC19BA" w:rsidRDefault="2BCC19BA" w:rsidP="524C17CD">
            <w:r>
              <w:t xml:space="preserve">Literacy </w:t>
            </w:r>
            <w:proofErr w:type="gramStart"/>
            <w:r>
              <w:t>focus</w:t>
            </w:r>
            <w:proofErr w:type="gramEnd"/>
            <w:r>
              <w:t xml:space="preserve"> on Mexican culture</w:t>
            </w:r>
          </w:p>
        </w:tc>
        <w:tc>
          <w:tcPr>
            <w:tcW w:w="4650" w:type="dxa"/>
          </w:tcPr>
          <w:p w14:paraId="3AA5DDB9" w14:textId="26441D06" w:rsidR="524C17CD" w:rsidRDefault="524C17CD">
            <w:r>
              <w:t>Artist research</w:t>
            </w:r>
          </w:p>
          <w:p w14:paraId="79185529" w14:textId="3BD7C1E7" w:rsidR="524C17CD" w:rsidRDefault="524C17CD"/>
        </w:tc>
      </w:tr>
      <w:tr w:rsidR="524C17CD" w14:paraId="3A7DD6F1" w14:textId="77777777" w:rsidTr="524C17CD">
        <w:trPr>
          <w:trHeight w:val="360"/>
        </w:trPr>
        <w:tc>
          <w:tcPr>
            <w:tcW w:w="2122" w:type="dxa"/>
          </w:tcPr>
          <w:p w14:paraId="704FD6A4" w14:textId="6D41A53D" w:rsidR="524C17CD" w:rsidRDefault="524C17CD">
            <w:r w:rsidRPr="524C17CD">
              <w:rPr>
                <w:rFonts w:ascii="Aptos" w:eastAsia="Aptos" w:hAnsi="Aptos" w:cs="Aptos"/>
              </w:rPr>
              <w:t>Links to Prior Learning</w:t>
            </w:r>
          </w:p>
        </w:tc>
        <w:tc>
          <w:tcPr>
            <w:tcW w:w="7176" w:type="dxa"/>
          </w:tcPr>
          <w:p w14:paraId="610BC186" w14:textId="5C330A41" w:rsidR="524C17CD" w:rsidRDefault="524C17CD" w:rsidP="524C17CD">
            <w:pPr>
              <w:rPr>
                <w:rFonts w:ascii="Aptos" w:eastAsia="Aptos" w:hAnsi="Aptos" w:cs="Aptos"/>
              </w:rPr>
            </w:pPr>
            <w:r w:rsidRPr="524C17CD">
              <w:rPr>
                <w:rFonts w:ascii="Aptos" w:eastAsia="Aptos" w:hAnsi="Aptos" w:cs="Aptos"/>
              </w:rPr>
              <w:t xml:space="preserve">Research develops by looking at Textiles artists. </w:t>
            </w:r>
          </w:p>
        </w:tc>
        <w:tc>
          <w:tcPr>
            <w:tcW w:w="4650" w:type="dxa"/>
          </w:tcPr>
          <w:p w14:paraId="79833063" w14:textId="7DC69E8E" w:rsidR="524C17CD" w:rsidRDefault="524C17CD" w:rsidP="524C17CD">
            <w:pPr>
              <w:rPr>
                <w:rFonts w:ascii="Aptos" w:eastAsia="Aptos" w:hAnsi="Aptos" w:cs="Aptos"/>
              </w:rPr>
            </w:pPr>
            <w:r w:rsidRPr="524C17CD">
              <w:rPr>
                <w:rFonts w:ascii="Aptos" w:eastAsia="Aptos" w:hAnsi="Aptos" w:cs="Aptos"/>
              </w:rPr>
              <w:t xml:space="preserve">More </w:t>
            </w:r>
            <w:proofErr w:type="gramStart"/>
            <w:r w:rsidRPr="524C17CD">
              <w:rPr>
                <w:rFonts w:ascii="Aptos" w:eastAsia="Aptos" w:hAnsi="Aptos" w:cs="Aptos"/>
              </w:rPr>
              <w:t>in depth</w:t>
            </w:r>
            <w:proofErr w:type="gramEnd"/>
            <w:r w:rsidRPr="524C17CD">
              <w:rPr>
                <w:rFonts w:ascii="Aptos" w:eastAsia="Aptos" w:hAnsi="Aptos" w:cs="Aptos"/>
              </w:rPr>
              <w:t xml:space="preserve"> artist research. This builds on student’s artist knowledge and research/analysing skills. </w:t>
            </w:r>
          </w:p>
        </w:tc>
      </w:tr>
      <w:tr w:rsidR="524C17CD" w14:paraId="26B4C5E2" w14:textId="77777777" w:rsidTr="524C17CD">
        <w:trPr>
          <w:trHeight w:val="360"/>
        </w:trPr>
        <w:tc>
          <w:tcPr>
            <w:tcW w:w="2122" w:type="dxa"/>
          </w:tcPr>
          <w:p w14:paraId="2D1F1324" w14:textId="2E4ED423" w:rsidR="524C17CD" w:rsidRDefault="524C17CD">
            <w:r w:rsidRPr="524C17CD">
              <w:rPr>
                <w:rFonts w:ascii="Aptos" w:eastAsia="Aptos" w:hAnsi="Aptos" w:cs="Aptos"/>
              </w:rPr>
              <w:t>Preparation to future learning</w:t>
            </w:r>
          </w:p>
        </w:tc>
        <w:tc>
          <w:tcPr>
            <w:tcW w:w="7176" w:type="dxa"/>
          </w:tcPr>
          <w:p w14:paraId="11D2E9AA" w14:textId="53ED5624" w:rsidR="524C17CD" w:rsidRDefault="524C17CD">
            <w:r w:rsidRPr="524C17CD">
              <w:rPr>
                <w:rFonts w:ascii="Aptos" w:eastAsia="Aptos" w:hAnsi="Aptos" w:cs="Aptos"/>
              </w:rPr>
              <w:t xml:space="preserve">Artist research: Students learn how to research an artist and make creative pages </w:t>
            </w:r>
          </w:p>
          <w:p w14:paraId="3FBCB4C9" w14:textId="5C2D4D1B" w:rsidR="524C17CD" w:rsidRDefault="524C17CD" w:rsidP="524C17CD">
            <w:pPr>
              <w:rPr>
                <w:rFonts w:ascii="Aptos" w:eastAsia="Aptos" w:hAnsi="Aptos" w:cs="Aptos"/>
              </w:rPr>
            </w:pPr>
          </w:p>
          <w:p w14:paraId="27FFC079" w14:textId="04286DF0" w:rsidR="524C17CD" w:rsidRDefault="524C17CD">
            <w:r w:rsidRPr="524C17CD">
              <w:rPr>
                <w:rFonts w:ascii="Aptos" w:eastAsia="Aptos" w:hAnsi="Aptos" w:cs="Aptos"/>
                <w:u w:val="single"/>
              </w:rPr>
              <w:t xml:space="preserve">Experimentation: </w:t>
            </w:r>
            <w:r w:rsidRPr="524C17CD">
              <w:rPr>
                <w:rFonts w:ascii="Aptos" w:eastAsia="Aptos" w:hAnsi="Aptos" w:cs="Aptos"/>
              </w:rPr>
              <w:t xml:space="preserve">Students learn how to control and experiment with different material and processes. </w:t>
            </w:r>
          </w:p>
          <w:p w14:paraId="35310558" w14:textId="27ECF9A9" w:rsidR="524C17CD" w:rsidRDefault="524C17CD">
            <w:r w:rsidRPr="524C17CD">
              <w:rPr>
                <w:rFonts w:ascii="Aptos" w:eastAsia="Aptos" w:hAnsi="Aptos" w:cs="Aptos"/>
                <w:u w:val="single"/>
              </w:rPr>
              <w:t xml:space="preserve">Creating ideas </w:t>
            </w:r>
            <w:r w:rsidRPr="524C17CD">
              <w:rPr>
                <w:rFonts w:ascii="Aptos" w:eastAsia="Aptos" w:hAnsi="Aptos" w:cs="Aptos"/>
              </w:rPr>
              <w:t>– students start to develop their skills in creating ideas</w:t>
            </w:r>
          </w:p>
        </w:tc>
        <w:tc>
          <w:tcPr>
            <w:tcW w:w="4650" w:type="dxa"/>
          </w:tcPr>
          <w:p w14:paraId="47ACEC86" w14:textId="6D56052C" w:rsidR="524C17CD" w:rsidRDefault="524C17CD">
            <w:r w:rsidRPr="524C17CD">
              <w:rPr>
                <w:rFonts w:ascii="Aptos" w:eastAsia="Aptos" w:hAnsi="Aptos" w:cs="Aptos"/>
              </w:rPr>
              <w:t>Developing original ideas for a final piece is introduced. The creation of final piece will be introduced.</w:t>
            </w:r>
          </w:p>
        </w:tc>
      </w:tr>
      <w:tr w:rsidR="524C17CD" w14:paraId="649C5035" w14:textId="77777777" w:rsidTr="524C17CD">
        <w:trPr>
          <w:trHeight w:val="360"/>
        </w:trPr>
        <w:tc>
          <w:tcPr>
            <w:tcW w:w="2122" w:type="dxa"/>
          </w:tcPr>
          <w:p w14:paraId="052BEA12" w14:textId="64147439" w:rsidR="524C17CD" w:rsidRDefault="524C17CD">
            <w:r>
              <w:t>Assessment</w:t>
            </w:r>
          </w:p>
        </w:tc>
        <w:tc>
          <w:tcPr>
            <w:tcW w:w="7176" w:type="dxa"/>
          </w:tcPr>
          <w:p w14:paraId="54B73DAD" w14:textId="6D55EB01" w:rsidR="524C17CD" w:rsidRDefault="524C17CD" w:rsidP="524C17CD">
            <w:pPr>
              <w:rPr>
                <w:rFonts w:ascii="Aptos" w:eastAsia="Aptos" w:hAnsi="Aptos" w:cs="Aptos"/>
              </w:rPr>
            </w:pPr>
            <w:r w:rsidRPr="524C17CD">
              <w:rPr>
                <w:rFonts w:ascii="Aptos" w:eastAsia="Aptos" w:hAnsi="Aptos" w:cs="Aptos"/>
              </w:rPr>
              <w:t>Formative feedback through learning journey green pen/summative assessment at the end of rotation in Enrichment assessment handbook</w:t>
            </w:r>
          </w:p>
        </w:tc>
        <w:tc>
          <w:tcPr>
            <w:tcW w:w="4650" w:type="dxa"/>
          </w:tcPr>
          <w:p w14:paraId="79177EE6" w14:textId="6D55EB01" w:rsidR="524C17CD" w:rsidRDefault="524C17CD" w:rsidP="524C17CD">
            <w:pPr>
              <w:rPr>
                <w:rFonts w:ascii="Aptos" w:eastAsia="Aptos" w:hAnsi="Aptos" w:cs="Aptos"/>
              </w:rPr>
            </w:pPr>
            <w:r w:rsidRPr="524C17CD">
              <w:rPr>
                <w:rFonts w:ascii="Aptos" w:eastAsia="Aptos" w:hAnsi="Aptos" w:cs="Aptos"/>
              </w:rPr>
              <w:t>Formative feedback through learning journey green pen/summative assessment at the end of rotation in Enrichment assessment handbook</w:t>
            </w:r>
          </w:p>
          <w:p w14:paraId="73BB2AAF" w14:textId="77777777" w:rsidR="524C17CD" w:rsidRDefault="524C17CD"/>
          <w:p w14:paraId="2B88E20B" w14:textId="77777777" w:rsidR="00B32DEE" w:rsidRDefault="00B32DEE"/>
          <w:p w14:paraId="781C0434" w14:textId="764C8B92" w:rsidR="00B32DEE" w:rsidRDefault="00B32DEE"/>
        </w:tc>
      </w:tr>
      <w:tr w:rsidR="524C17CD" w14:paraId="3A78CD1D" w14:textId="77777777" w:rsidTr="524C17CD">
        <w:trPr>
          <w:trHeight w:val="360"/>
        </w:trPr>
        <w:tc>
          <w:tcPr>
            <w:tcW w:w="2122" w:type="dxa"/>
          </w:tcPr>
          <w:p w14:paraId="0420666C" w14:textId="0114ABDA" w:rsidR="524C17CD" w:rsidRDefault="524C17CD" w:rsidP="524C17CD">
            <w:pPr>
              <w:jc w:val="center"/>
              <w:rPr>
                <w:b/>
                <w:bCs/>
              </w:rPr>
            </w:pPr>
            <w:r w:rsidRPr="524C17CD">
              <w:rPr>
                <w:b/>
                <w:bCs/>
              </w:rPr>
              <w:lastRenderedPageBreak/>
              <w:t xml:space="preserve">Year </w:t>
            </w:r>
            <w:r w:rsidR="639FAF29" w:rsidRPr="524C17CD">
              <w:rPr>
                <w:b/>
                <w:bCs/>
              </w:rPr>
              <w:t>9</w:t>
            </w:r>
          </w:p>
        </w:tc>
        <w:tc>
          <w:tcPr>
            <w:tcW w:w="7176" w:type="dxa"/>
          </w:tcPr>
          <w:p w14:paraId="1A5820F4" w14:textId="6BF6BAC8" w:rsidR="524C17CD" w:rsidRDefault="524C17CD" w:rsidP="524C17CD">
            <w:pPr>
              <w:jc w:val="center"/>
              <w:rPr>
                <w:b/>
                <w:bCs/>
              </w:rPr>
            </w:pPr>
            <w:r w:rsidRPr="524C17CD">
              <w:rPr>
                <w:b/>
                <w:bCs/>
              </w:rPr>
              <w:t>Rotation 1</w:t>
            </w:r>
          </w:p>
        </w:tc>
        <w:tc>
          <w:tcPr>
            <w:tcW w:w="4650" w:type="dxa"/>
          </w:tcPr>
          <w:p w14:paraId="68C92BF4" w14:textId="24E553C9" w:rsidR="524C17CD" w:rsidRDefault="524C17CD" w:rsidP="524C17CD">
            <w:pPr>
              <w:jc w:val="center"/>
              <w:rPr>
                <w:b/>
                <w:bCs/>
              </w:rPr>
            </w:pPr>
            <w:r w:rsidRPr="524C17CD">
              <w:rPr>
                <w:b/>
                <w:bCs/>
              </w:rPr>
              <w:t>Rotation 2</w:t>
            </w:r>
          </w:p>
        </w:tc>
      </w:tr>
      <w:tr w:rsidR="524C17CD" w14:paraId="152310CD" w14:textId="77777777" w:rsidTr="524C17CD">
        <w:trPr>
          <w:trHeight w:val="360"/>
        </w:trPr>
        <w:tc>
          <w:tcPr>
            <w:tcW w:w="2122" w:type="dxa"/>
          </w:tcPr>
          <w:p w14:paraId="724BC08D" w14:textId="2276EA51" w:rsidR="524C17CD" w:rsidRDefault="524C17CD">
            <w:r>
              <w:t>Knowledge</w:t>
            </w:r>
          </w:p>
        </w:tc>
        <w:tc>
          <w:tcPr>
            <w:tcW w:w="7176" w:type="dxa"/>
          </w:tcPr>
          <w:p w14:paraId="079954EE" w14:textId="3AC5FD36" w:rsidR="28FBF9C8" w:rsidRDefault="28FBF9C8" w:rsidP="524C17CD">
            <w:r>
              <w:t>OCEAN MIXED MEDIA</w:t>
            </w:r>
          </w:p>
          <w:p w14:paraId="33C8D212" w14:textId="69DDE880" w:rsidR="28FBF9C8" w:rsidRDefault="28FBF9C8" w:rsidP="524C17CD">
            <w:r>
              <w:t>Students will research and create a piece of wall art that encompasses mixed media textile work. They will learn more about the ocean and how we can reduce our plastic consumption.</w:t>
            </w:r>
          </w:p>
        </w:tc>
        <w:tc>
          <w:tcPr>
            <w:tcW w:w="4650" w:type="dxa"/>
          </w:tcPr>
          <w:p w14:paraId="6973C127" w14:textId="145DAA6E" w:rsidR="28FBF9C8" w:rsidRDefault="28FBF9C8">
            <w:r>
              <w:t xml:space="preserve">UPCYLCING </w:t>
            </w:r>
          </w:p>
          <w:p w14:paraId="55ED74F8" w14:textId="383AC39A" w:rsidR="28FBF9C8" w:rsidRDefault="28FBF9C8">
            <w:r>
              <w:t>Students will learn about the skills needed to upcycle. They will develop a deeper understanding on textiles waste and how items can be repurposed rather than ending up in landfill.</w:t>
            </w:r>
          </w:p>
        </w:tc>
      </w:tr>
      <w:tr w:rsidR="524C17CD" w14:paraId="296122D3" w14:textId="77777777" w:rsidTr="524C17CD">
        <w:trPr>
          <w:trHeight w:val="360"/>
        </w:trPr>
        <w:tc>
          <w:tcPr>
            <w:tcW w:w="2122" w:type="dxa"/>
          </w:tcPr>
          <w:p w14:paraId="53B35172" w14:textId="40C791C8" w:rsidR="524C17CD" w:rsidRDefault="524C17CD">
            <w:r>
              <w:t>Skills</w:t>
            </w:r>
          </w:p>
        </w:tc>
        <w:tc>
          <w:tcPr>
            <w:tcW w:w="7176" w:type="dxa"/>
          </w:tcPr>
          <w:p w14:paraId="0B144749" w14:textId="5CA7A42A" w:rsidR="524C17CD" w:rsidRDefault="524C17CD">
            <w:r>
              <w:t>Product design</w:t>
            </w:r>
          </w:p>
          <w:p w14:paraId="2EA52C98" w14:textId="717F7B97" w:rsidR="524C17CD" w:rsidRDefault="524C17CD">
            <w:r>
              <w:t>Advanced Hand embroidery</w:t>
            </w:r>
          </w:p>
          <w:p w14:paraId="4C78A61D" w14:textId="103568DE" w:rsidR="524C17CD" w:rsidRDefault="524C17CD">
            <w:r>
              <w:t>Applique and embellishments</w:t>
            </w:r>
          </w:p>
          <w:p w14:paraId="66DE5CDB" w14:textId="6F5D6E8E" w:rsidR="10442DD0" w:rsidRDefault="10442DD0">
            <w:r>
              <w:t>Weaving</w:t>
            </w:r>
          </w:p>
          <w:p w14:paraId="1005D5A7" w14:textId="5E763815" w:rsidR="10442DD0" w:rsidRDefault="10442DD0">
            <w:r>
              <w:t>Free motion machine work</w:t>
            </w:r>
          </w:p>
          <w:p w14:paraId="2B2BE3E4" w14:textId="16B84BE4" w:rsidR="524C17CD" w:rsidRDefault="524C17CD">
            <w:r>
              <w:t>Peer and self-reviews.</w:t>
            </w:r>
          </w:p>
        </w:tc>
        <w:tc>
          <w:tcPr>
            <w:tcW w:w="4650" w:type="dxa"/>
          </w:tcPr>
          <w:p w14:paraId="174BE93A" w14:textId="451DDFED" w:rsidR="524C17CD" w:rsidRDefault="524C17CD">
            <w:proofErr w:type="gramStart"/>
            <w:r>
              <w:t>Product</w:t>
            </w:r>
            <w:proofErr w:type="gramEnd"/>
            <w:r>
              <w:t xml:space="preserve"> deign</w:t>
            </w:r>
          </w:p>
          <w:p w14:paraId="3FD162FB" w14:textId="6CD0C0D3" w:rsidR="524C17CD" w:rsidRDefault="524C17CD">
            <w:r>
              <w:t>Printing – stencil making</w:t>
            </w:r>
          </w:p>
          <w:p w14:paraId="6B7AD370" w14:textId="2DA0E945" w:rsidR="524C17CD" w:rsidRDefault="524C17CD">
            <w:r>
              <w:t>Machine skills</w:t>
            </w:r>
          </w:p>
          <w:p w14:paraId="7A9E31B2" w14:textId="51995676" w:rsidR="524C17CD" w:rsidRDefault="524C17CD">
            <w:r>
              <w:t>Using heat</w:t>
            </w:r>
          </w:p>
          <w:p w14:paraId="4ACDCEC5" w14:textId="0EB26FB1" w:rsidR="2B3B0A36" w:rsidRDefault="2B3B0A36">
            <w:r>
              <w:t xml:space="preserve">Measuring </w:t>
            </w:r>
          </w:p>
          <w:p w14:paraId="3522562C" w14:textId="736A6355" w:rsidR="2B3B0A36" w:rsidRDefault="2B3B0A36">
            <w:r>
              <w:t>Patter creation</w:t>
            </w:r>
          </w:p>
          <w:p w14:paraId="7D33A382" w14:textId="277F2220" w:rsidR="2B3B0A36" w:rsidRDefault="2B3B0A36">
            <w:r>
              <w:t>Machine skills</w:t>
            </w:r>
          </w:p>
        </w:tc>
      </w:tr>
      <w:tr w:rsidR="524C17CD" w14:paraId="6E93CB2A" w14:textId="77777777" w:rsidTr="524C17CD">
        <w:trPr>
          <w:trHeight w:val="360"/>
        </w:trPr>
        <w:tc>
          <w:tcPr>
            <w:tcW w:w="2122" w:type="dxa"/>
          </w:tcPr>
          <w:p w14:paraId="7A241BB7" w14:textId="7D35BA2E" w:rsidR="524C17CD" w:rsidRDefault="524C17CD">
            <w:r>
              <w:t>Literacy Focus</w:t>
            </w:r>
          </w:p>
        </w:tc>
        <w:tc>
          <w:tcPr>
            <w:tcW w:w="7176" w:type="dxa"/>
          </w:tcPr>
          <w:p w14:paraId="1F21AF37" w14:textId="483164AC" w:rsidR="524C17CD" w:rsidRDefault="524C17CD" w:rsidP="524C17CD">
            <w:r>
              <w:t xml:space="preserve">Literacy </w:t>
            </w:r>
            <w:proofErr w:type="gramStart"/>
            <w:r>
              <w:t>focus</w:t>
            </w:r>
            <w:proofErr w:type="gramEnd"/>
            <w:r>
              <w:t xml:space="preserve"> on </w:t>
            </w:r>
            <w:r w:rsidR="34BB2C84">
              <w:t>Saving the Oceans</w:t>
            </w:r>
          </w:p>
        </w:tc>
        <w:tc>
          <w:tcPr>
            <w:tcW w:w="4650" w:type="dxa"/>
          </w:tcPr>
          <w:p w14:paraId="46008892" w14:textId="26441D06" w:rsidR="524C17CD" w:rsidRDefault="524C17CD">
            <w:r>
              <w:t>Artist research</w:t>
            </w:r>
          </w:p>
          <w:p w14:paraId="1C1ECF1D" w14:textId="3BD7C1E7" w:rsidR="524C17CD" w:rsidRDefault="524C17CD"/>
        </w:tc>
      </w:tr>
      <w:tr w:rsidR="524C17CD" w14:paraId="3B438599" w14:textId="77777777" w:rsidTr="524C17CD">
        <w:trPr>
          <w:trHeight w:val="360"/>
        </w:trPr>
        <w:tc>
          <w:tcPr>
            <w:tcW w:w="2122" w:type="dxa"/>
          </w:tcPr>
          <w:p w14:paraId="2C641417" w14:textId="6D41A53D" w:rsidR="524C17CD" w:rsidRDefault="524C17CD">
            <w:r w:rsidRPr="524C17CD">
              <w:rPr>
                <w:rFonts w:ascii="Aptos" w:eastAsia="Aptos" w:hAnsi="Aptos" w:cs="Aptos"/>
              </w:rPr>
              <w:t>Links to Prior Learning</w:t>
            </w:r>
          </w:p>
        </w:tc>
        <w:tc>
          <w:tcPr>
            <w:tcW w:w="7176" w:type="dxa"/>
          </w:tcPr>
          <w:p w14:paraId="7A8DD160" w14:textId="60796A7D" w:rsidR="524C17CD" w:rsidRDefault="524C17CD" w:rsidP="524C17CD">
            <w:pPr>
              <w:rPr>
                <w:rFonts w:ascii="Aptos" w:eastAsia="Aptos" w:hAnsi="Aptos" w:cs="Aptos"/>
              </w:rPr>
            </w:pPr>
            <w:r w:rsidRPr="524C17CD">
              <w:rPr>
                <w:rFonts w:ascii="Aptos" w:eastAsia="Aptos" w:hAnsi="Aptos" w:cs="Aptos"/>
              </w:rPr>
              <w:t xml:space="preserve">Research develops by looking at Textiles artists. </w:t>
            </w:r>
          </w:p>
        </w:tc>
        <w:tc>
          <w:tcPr>
            <w:tcW w:w="4650" w:type="dxa"/>
          </w:tcPr>
          <w:p w14:paraId="49167992" w14:textId="319D3340" w:rsidR="524C17CD" w:rsidRDefault="524C17CD" w:rsidP="524C17CD">
            <w:pPr>
              <w:rPr>
                <w:rFonts w:ascii="Aptos" w:eastAsia="Aptos" w:hAnsi="Aptos" w:cs="Aptos"/>
              </w:rPr>
            </w:pPr>
            <w:r w:rsidRPr="524C17CD">
              <w:rPr>
                <w:rFonts w:ascii="Aptos" w:eastAsia="Aptos" w:hAnsi="Aptos" w:cs="Aptos"/>
              </w:rPr>
              <w:t xml:space="preserve">More </w:t>
            </w:r>
            <w:r w:rsidR="16C00076" w:rsidRPr="524C17CD">
              <w:rPr>
                <w:rFonts w:ascii="Aptos" w:eastAsia="Aptos" w:hAnsi="Aptos" w:cs="Aptos"/>
              </w:rPr>
              <w:t>in-depth</w:t>
            </w:r>
            <w:r w:rsidRPr="524C17CD">
              <w:rPr>
                <w:rFonts w:ascii="Aptos" w:eastAsia="Aptos" w:hAnsi="Aptos" w:cs="Aptos"/>
              </w:rPr>
              <w:t xml:space="preserve"> artist research. This builds on student’s artist knowledge and research/analysing skills. </w:t>
            </w:r>
          </w:p>
        </w:tc>
      </w:tr>
      <w:tr w:rsidR="524C17CD" w14:paraId="7EA1E3C8" w14:textId="77777777" w:rsidTr="524C17CD">
        <w:trPr>
          <w:trHeight w:val="360"/>
        </w:trPr>
        <w:tc>
          <w:tcPr>
            <w:tcW w:w="2122" w:type="dxa"/>
          </w:tcPr>
          <w:p w14:paraId="13E7C75D" w14:textId="2E4ED423" w:rsidR="524C17CD" w:rsidRDefault="524C17CD">
            <w:r w:rsidRPr="524C17CD">
              <w:rPr>
                <w:rFonts w:ascii="Aptos" w:eastAsia="Aptos" w:hAnsi="Aptos" w:cs="Aptos"/>
              </w:rPr>
              <w:t>Preparation to future learning</w:t>
            </w:r>
          </w:p>
        </w:tc>
        <w:tc>
          <w:tcPr>
            <w:tcW w:w="7176" w:type="dxa"/>
          </w:tcPr>
          <w:p w14:paraId="5D74F929" w14:textId="53ED5624" w:rsidR="524C17CD" w:rsidRDefault="524C17CD">
            <w:r w:rsidRPr="524C17CD">
              <w:rPr>
                <w:rFonts w:ascii="Aptos" w:eastAsia="Aptos" w:hAnsi="Aptos" w:cs="Aptos"/>
              </w:rPr>
              <w:t xml:space="preserve">Artist research: Students learn how to research an artist and make creative pages </w:t>
            </w:r>
          </w:p>
          <w:p w14:paraId="4FE57045" w14:textId="5C2D4D1B" w:rsidR="524C17CD" w:rsidRDefault="524C17CD" w:rsidP="524C17CD">
            <w:pPr>
              <w:rPr>
                <w:rFonts w:ascii="Aptos" w:eastAsia="Aptos" w:hAnsi="Aptos" w:cs="Aptos"/>
              </w:rPr>
            </w:pPr>
          </w:p>
          <w:p w14:paraId="18B04401" w14:textId="04286DF0" w:rsidR="524C17CD" w:rsidRDefault="524C17CD">
            <w:r w:rsidRPr="524C17CD">
              <w:rPr>
                <w:rFonts w:ascii="Aptos" w:eastAsia="Aptos" w:hAnsi="Aptos" w:cs="Aptos"/>
                <w:u w:val="single"/>
              </w:rPr>
              <w:t xml:space="preserve">Experimentation: </w:t>
            </w:r>
            <w:r w:rsidRPr="524C17CD">
              <w:rPr>
                <w:rFonts w:ascii="Aptos" w:eastAsia="Aptos" w:hAnsi="Aptos" w:cs="Aptos"/>
              </w:rPr>
              <w:t xml:space="preserve">Students learn how to control and experiment with different material and processes. </w:t>
            </w:r>
          </w:p>
          <w:p w14:paraId="40B23E25" w14:textId="27ECF9A9" w:rsidR="524C17CD" w:rsidRDefault="524C17CD">
            <w:r w:rsidRPr="524C17CD">
              <w:rPr>
                <w:rFonts w:ascii="Aptos" w:eastAsia="Aptos" w:hAnsi="Aptos" w:cs="Aptos"/>
                <w:u w:val="single"/>
              </w:rPr>
              <w:t xml:space="preserve">Creating ideas </w:t>
            </w:r>
            <w:r w:rsidRPr="524C17CD">
              <w:rPr>
                <w:rFonts w:ascii="Aptos" w:eastAsia="Aptos" w:hAnsi="Aptos" w:cs="Aptos"/>
              </w:rPr>
              <w:t>– students start to develop their skills in creating ideas</w:t>
            </w:r>
          </w:p>
        </w:tc>
        <w:tc>
          <w:tcPr>
            <w:tcW w:w="4650" w:type="dxa"/>
          </w:tcPr>
          <w:p w14:paraId="7E2F0BA3" w14:textId="6D56052C" w:rsidR="524C17CD" w:rsidRDefault="524C17CD">
            <w:r w:rsidRPr="524C17CD">
              <w:rPr>
                <w:rFonts w:ascii="Aptos" w:eastAsia="Aptos" w:hAnsi="Aptos" w:cs="Aptos"/>
              </w:rPr>
              <w:t>Developing original ideas for a final piece is introduced. The creation of final piece will be introduced.</w:t>
            </w:r>
          </w:p>
        </w:tc>
      </w:tr>
      <w:tr w:rsidR="524C17CD" w14:paraId="024E89B9" w14:textId="77777777" w:rsidTr="524C17CD">
        <w:trPr>
          <w:trHeight w:val="360"/>
        </w:trPr>
        <w:tc>
          <w:tcPr>
            <w:tcW w:w="2122" w:type="dxa"/>
          </w:tcPr>
          <w:p w14:paraId="48C59A42" w14:textId="64147439" w:rsidR="524C17CD" w:rsidRDefault="524C17CD">
            <w:r>
              <w:t>Assessment</w:t>
            </w:r>
          </w:p>
        </w:tc>
        <w:tc>
          <w:tcPr>
            <w:tcW w:w="7176" w:type="dxa"/>
          </w:tcPr>
          <w:p w14:paraId="1FCD138D" w14:textId="6D55EB01" w:rsidR="524C17CD" w:rsidRDefault="524C17CD" w:rsidP="524C17CD">
            <w:pPr>
              <w:rPr>
                <w:rFonts w:ascii="Aptos" w:eastAsia="Aptos" w:hAnsi="Aptos" w:cs="Aptos"/>
              </w:rPr>
            </w:pPr>
            <w:r w:rsidRPr="524C17CD">
              <w:rPr>
                <w:rFonts w:ascii="Aptos" w:eastAsia="Aptos" w:hAnsi="Aptos" w:cs="Aptos"/>
              </w:rPr>
              <w:t>Formative feedback through learning journey green pen/summative assessment at the end of rotation in Enrichment assessment handbook</w:t>
            </w:r>
          </w:p>
        </w:tc>
        <w:tc>
          <w:tcPr>
            <w:tcW w:w="4650" w:type="dxa"/>
          </w:tcPr>
          <w:p w14:paraId="73A771AA" w14:textId="6D55EB01" w:rsidR="524C17CD" w:rsidRDefault="524C17CD" w:rsidP="524C17CD">
            <w:pPr>
              <w:rPr>
                <w:rFonts w:ascii="Aptos" w:eastAsia="Aptos" w:hAnsi="Aptos" w:cs="Aptos"/>
              </w:rPr>
            </w:pPr>
            <w:r w:rsidRPr="524C17CD">
              <w:rPr>
                <w:rFonts w:ascii="Aptos" w:eastAsia="Aptos" w:hAnsi="Aptos" w:cs="Aptos"/>
              </w:rPr>
              <w:t>Formative feedback through learning journey green pen/summative assessment at the end of rotation in Enrichment assessment handbook</w:t>
            </w:r>
          </w:p>
          <w:p w14:paraId="3B7F6D87" w14:textId="764C8B92" w:rsidR="524C17CD" w:rsidRDefault="524C17CD"/>
        </w:tc>
      </w:tr>
    </w:tbl>
    <w:p w14:paraId="7D355D41" w14:textId="4B075CAB" w:rsidR="524C17CD" w:rsidRDefault="524C17CD"/>
    <w:p w14:paraId="5E2B62BF" w14:textId="4410503B" w:rsidR="21AAB2DA" w:rsidRDefault="21AAB2DA">
      <w:r>
        <w:t>KS4</w:t>
      </w:r>
    </w:p>
    <w:tbl>
      <w:tblPr>
        <w:tblStyle w:val="TableGrid"/>
        <w:tblW w:w="0" w:type="auto"/>
        <w:tblLayout w:type="fixed"/>
        <w:tblLook w:val="06A0" w:firstRow="1" w:lastRow="0" w:firstColumn="1" w:lastColumn="0" w:noHBand="1" w:noVBand="1"/>
      </w:tblPr>
      <w:tblGrid>
        <w:gridCol w:w="3488"/>
        <w:gridCol w:w="3488"/>
        <w:gridCol w:w="3488"/>
        <w:gridCol w:w="3488"/>
      </w:tblGrid>
      <w:tr w:rsidR="524C17CD" w14:paraId="00099640" w14:textId="77777777" w:rsidTr="524C17CD">
        <w:trPr>
          <w:trHeight w:val="300"/>
        </w:trPr>
        <w:tc>
          <w:tcPr>
            <w:tcW w:w="3488" w:type="dxa"/>
          </w:tcPr>
          <w:p w14:paraId="312AB11E" w14:textId="08A3C167" w:rsidR="21AAB2DA" w:rsidRDefault="21AAB2DA">
            <w:r w:rsidRPr="524C17CD">
              <w:rPr>
                <w:rFonts w:ascii="Aptos" w:eastAsia="Aptos" w:hAnsi="Aptos" w:cs="Aptos"/>
              </w:rPr>
              <w:t>A01 Develop ideas through investigations, demonstrating critical understanding of sources.</w:t>
            </w:r>
          </w:p>
        </w:tc>
        <w:tc>
          <w:tcPr>
            <w:tcW w:w="3488" w:type="dxa"/>
          </w:tcPr>
          <w:p w14:paraId="5CE903FF" w14:textId="486F848F" w:rsidR="648E6380" w:rsidRDefault="648E6380">
            <w:r w:rsidRPr="524C17CD">
              <w:rPr>
                <w:rFonts w:ascii="Aptos" w:eastAsia="Aptos" w:hAnsi="Aptos" w:cs="Aptos"/>
              </w:rPr>
              <w:t>A02 Refine work by exploring ideas, selecting and experimenting with appropriate media, materials, techniques and processes.</w:t>
            </w:r>
          </w:p>
        </w:tc>
        <w:tc>
          <w:tcPr>
            <w:tcW w:w="3488" w:type="dxa"/>
          </w:tcPr>
          <w:p w14:paraId="734B5A28" w14:textId="01F233A0" w:rsidR="10E07839" w:rsidRDefault="10E07839">
            <w:r w:rsidRPr="524C17CD">
              <w:rPr>
                <w:rFonts w:ascii="Aptos" w:eastAsia="Aptos" w:hAnsi="Aptos" w:cs="Aptos"/>
              </w:rPr>
              <w:t>A03 Record ideas, observations and insights relevant to intentions as work progresses.</w:t>
            </w:r>
          </w:p>
        </w:tc>
        <w:tc>
          <w:tcPr>
            <w:tcW w:w="3488" w:type="dxa"/>
          </w:tcPr>
          <w:p w14:paraId="671768BD" w14:textId="05A1A74C" w:rsidR="10E07839" w:rsidRDefault="10E07839">
            <w:r w:rsidRPr="524C17CD">
              <w:rPr>
                <w:rFonts w:ascii="Aptos" w:eastAsia="Aptos" w:hAnsi="Aptos" w:cs="Aptos"/>
              </w:rPr>
              <w:t>A04 Present a personal and meaningful response that realises intentions and demonstrates understanding of visual language.</w:t>
            </w:r>
          </w:p>
        </w:tc>
      </w:tr>
      <w:tr w:rsidR="524C17CD" w14:paraId="3FDA78DE" w14:textId="77777777" w:rsidTr="524C17CD">
        <w:trPr>
          <w:trHeight w:val="300"/>
        </w:trPr>
        <w:tc>
          <w:tcPr>
            <w:tcW w:w="3488" w:type="dxa"/>
          </w:tcPr>
          <w:p w14:paraId="195F701A" w14:textId="48DA3B18" w:rsidR="21AAB2DA" w:rsidRDefault="21AAB2DA" w:rsidP="524C17CD">
            <w:r w:rsidRPr="524C17CD">
              <w:rPr>
                <w:rFonts w:ascii="Aptos" w:eastAsia="Aptos" w:hAnsi="Aptos" w:cs="Aptos"/>
              </w:rPr>
              <w:t xml:space="preserve"> Students are given the opportunity to achieve this objective by creating research pages on portrait artists, Abi Ferguson and Patricia Edwards. They explore techniques used by these artists to create ideas for the next objectives. These skills, however, also cover the other three objectives because materials, processes are used within their research pages. Students also research by making accurate copies of the artist’s work. They write their own personal insights and thoughts about the artist’s and their own copies which demonstrates a deeper understanding of the work. As </w:t>
            </w:r>
            <w:r w:rsidR="2C827568" w:rsidRPr="524C17CD">
              <w:rPr>
                <w:rFonts w:ascii="Aptos" w:eastAsia="Aptos" w:hAnsi="Aptos" w:cs="Aptos"/>
              </w:rPr>
              <w:t>students'</w:t>
            </w:r>
            <w:r w:rsidRPr="524C17CD">
              <w:rPr>
                <w:rFonts w:ascii="Aptos" w:eastAsia="Aptos" w:hAnsi="Aptos" w:cs="Aptos"/>
              </w:rPr>
              <w:t xml:space="preserve"> progress in KS4 they </w:t>
            </w:r>
            <w:r w:rsidRPr="524C17CD">
              <w:rPr>
                <w:rFonts w:ascii="Aptos" w:eastAsia="Aptos" w:hAnsi="Aptos" w:cs="Aptos"/>
              </w:rPr>
              <w:lastRenderedPageBreak/>
              <w:t>research the work of Abi Diamond. This provides two examples of pupil’s covering the objective</w:t>
            </w:r>
          </w:p>
        </w:tc>
        <w:tc>
          <w:tcPr>
            <w:tcW w:w="3488" w:type="dxa"/>
          </w:tcPr>
          <w:p w14:paraId="5313065B" w14:textId="6E0700CA" w:rsidR="5775AC38" w:rsidRDefault="5775AC38">
            <w:r w:rsidRPr="524C17CD">
              <w:rPr>
                <w:rFonts w:ascii="Aptos" w:eastAsia="Aptos" w:hAnsi="Aptos" w:cs="Aptos"/>
              </w:rPr>
              <w:lastRenderedPageBreak/>
              <w:t>This objective is explored throughout all the objectives as students experiment with all the materials to create artist studies, sketch book pages, experimental ideas and final outcomes. Students are given the independence to explore the materials they want to find the best route to their outcomes. This process allows students to master their techniques.</w:t>
            </w:r>
          </w:p>
        </w:tc>
        <w:tc>
          <w:tcPr>
            <w:tcW w:w="3488" w:type="dxa"/>
          </w:tcPr>
          <w:p w14:paraId="6EF14649" w14:textId="06827707" w:rsidR="7BC6C3A1" w:rsidRDefault="7BC6C3A1">
            <w:r w:rsidRPr="524C17CD">
              <w:rPr>
                <w:rFonts w:ascii="Aptos" w:eastAsia="Aptos" w:hAnsi="Aptos" w:cs="Aptos"/>
              </w:rPr>
              <w:t>Students work to a theme followed by artist research which gives them sufficient inspiration to explore ideas through different artistic experiments.</w:t>
            </w:r>
          </w:p>
        </w:tc>
        <w:tc>
          <w:tcPr>
            <w:tcW w:w="3488" w:type="dxa"/>
          </w:tcPr>
          <w:p w14:paraId="7CB61C82" w14:textId="7E882B8F" w:rsidR="7BC6C3A1" w:rsidRDefault="7BC6C3A1">
            <w:r w:rsidRPr="524C17CD">
              <w:rPr>
                <w:rFonts w:ascii="Aptos" w:eastAsia="Aptos" w:hAnsi="Aptos" w:cs="Aptos"/>
              </w:rPr>
              <w:t>Students create their final piece based on all their research, experiments and idea development. They usually use their most effective material or process, although some are often mix media pieces.</w:t>
            </w:r>
          </w:p>
        </w:tc>
      </w:tr>
    </w:tbl>
    <w:p w14:paraId="4F2DB1A2" w14:textId="50C9CE89" w:rsidR="524C17CD" w:rsidRDefault="524C17CD" w:rsidP="524C17CD">
      <w:pPr>
        <w:rPr>
          <w:rFonts w:ascii="Aptos" w:eastAsia="Aptos" w:hAnsi="Aptos" w:cs="Aptos"/>
        </w:rPr>
      </w:pPr>
    </w:p>
    <w:sectPr w:rsidR="524C17CD" w:rsidSect="00D84C9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4E2"/>
    <w:rsid w:val="005046BA"/>
    <w:rsid w:val="006C72A8"/>
    <w:rsid w:val="006E74E2"/>
    <w:rsid w:val="0099541D"/>
    <w:rsid w:val="00B32DEE"/>
    <w:rsid w:val="00C21FF0"/>
    <w:rsid w:val="00C2443D"/>
    <w:rsid w:val="00D84C91"/>
    <w:rsid w:val="00FD5FD7"/>
    <w:rsid w:val="023401EA"/>
    <w:rsid w:val="06320857"/>
    <w:rsid w:val="0CF5F3FE"/>
    <w:rsid w:val="0DB3AE52"/>
    <w:rsid w:val="0F3E7CFD"/>
    <w:rsid w:val="0F6EA903"/>
    <w:rsid w:val="10442DD0"/>
    <w:rsid w:val="10A3C6EE"/>
    <w:rsid w:val="10E07839"/>
    <w:rsid w:val="11961CDE"/>
    <w:rsid w:val="1580444D"/>
    <w:rsid w:val="16C00076"/>
    <w:rsid w:val="171F8CC9"/>
    <w:rsid w:val="18457580"/>
    <w:rsid w:val="1BEEFBD5"/>
    <w:rsid w:val="1C246BB2"/>
    <w:rsid w:val="1D725EAC"/>
    <w:rsid w:val="218425FC"/>
    <w:rsid w:val="21AAB2DA"/>
    <w:rsid w:val="21D9A7A8"/>
    <w:rsid w:val="22B4E98C"/>
    <w:rsid w:val="2397B018"/>
    <w:rsid w:val="25ED8404"/>
    <w:rsid w:val="2635A30E"/>
    <w:rsid w:val="28FBF9C8"/>
    <w:rsid w:val="2B29C043"/>
    <w:rsid w:val="2B3B0A36"/>
    <w:rsid w:val="2BCC19BA"/>
    <w:rsid w:val="2C827568"/>
    <w:rsid w:val="2DBB2F4D"/>
    <w:rsid w:val="30636243"/>
    <w:rsid w:val="33DD20DE"/>
    <w:rsid w:val="34BB2C84"/>
    <w:rsid w:val="3669C3C2"/>
    <w:rsid w:val="3821BA93"/>
    <w:rsid w:val="39528BB5"/>
    <w:rsid w:val="3C80D30F"/>
    <w:rsid w:val="40C813EC"/>
    <w:rsid w:val="40D16356"/>
    <w:rsid w:val="42ACB6A6"/>
    <w:rsid w:val="44B506D5"/>
    <w:rsid w:val="454C29F6"/>
    <w:rsid w:val="49A29A25"/>
    <w:rsid w:val="524C17CD"/>
    <w:rsid w:val="5775AC38"/>
    <w:rsid w:val="5DDDC835"/>
    <w:rsid w:val="60B82308"/>
    <w:rsid w:val="6219EE36"/>
    <w:rsid w:val="6380D502"/>
    <w:rsid w:val="639FAF29"/>
    <w:rsid w:val="63C628F6"/>
    <w:rsid w:val="648E6380"/>
    <w:rsid w:val="6660EF3F"/>
    <w:rsid w:val="6D1468AB"/>
    <w:rsid w:val="6DBCF4BA"/>
    <w:rsid w:val="704C369C"/>
    <w:rsid w:val="72908942"/>
    <w:rsid w:val="7385C313"/>
    <w:rsid w:val="75FF3BC4"/>
    <w:rsid w:val="7B7D23A0"/>
    <w:rsid w:val="7BC6C3A1"/>
    <w:rsid w:val="7CC77FE9"/>
    <w:rsid w:val="7E0D9958"/>
    <w:rsid w:val="7F962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0BF79"/>
  <w15:chartTrackingRefBased/>
  <w15:docId w15:val="{1E532086-CF86-4145-848C-CBCB75AB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4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74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74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74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74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74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4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4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4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4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4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4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4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74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74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4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4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4E2"/>
    <w:rPr>
      <w:rFonts w:eastAsiaTheme="majorEastAsia" w:cstheme="majorBidi"/>
      <w:color w:val="272727" w:themeColor="text1" w:themeTint="D8"/>
    </w:rPr>
  </w:style>
  <w:style w:type="paragraph" w:styleId="Title">
    <w:name w:val="Title"/>
    <w:basedOn w:val="Normal"/>
    <w:next w:val="Normal"/>
    <w:link w:val="TitleChar"/>
    <w:uiPriority w:val="10"/>
    <w:qFormat/>
    <w:rsid w:val="006E74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4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4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4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4E2"/>
    <w:pPr>
      <w:spacing w:before="160"/>
      <w:jc w:val="center"/>
    </w:pPr>
    <w:rPr>
      <w:i/>
      <w:iCs/>
      <w:color w:val="404040" w:themeColor="text1" w:themeTint="BF"/>
    </w:rPr>
  </w:style>
  <w:style w:type="character" w:customStyle="1" w:styleId="QuoteChar">
    <w:name w:val="Quote Char"/>
    <w:basedOn w:val="DefaultParagraphFont"/>
    <w:link w:val="Quote"/>
    <w:uiPriority w:val="29"/>
    <w:rsid w:val="006E74E2"/>
    <w:rPr>
      <w:i/>
      <w:iCs/>
      <w:color w:val="404040" w:themeColor="text1" w:themeTint="BF"/>
    </w:rPr>
  </w:style>
  <w:style w:type="paragraph" w:styleId="ListParagraph">
    <w:name w:val="List Paragraph"/>
    <w:basedOn w:val="Normal"/>
    <w:uiPriority w:val="34"/>
    <w:qFormat/>
    <w:rsid w:val="006E74E2"/>
    <w:pPr>
      <w:ind w:left="720"/>
      <w:contextualSpacing/>
    </w:pPr>
  </w:style>
  <w:style w:type="character" w:styleId="IntenseEmphasis">
    <w:name w:val="Intense Emphasis"/>
    <w:basedOn w:val="DefaultParagraphFont"/>
    <w:uiPriority w:val="21"/>
    <w:qFormat/>
    <w:rsid w:val="006E74E2"/>
    <w:rPr>
      <w:i/>
      <w:iCs/>
      <w:color w:val="0F4761" w:themeColor="accent1" w:themeShade="BF"/>
    </w:rPr>
  </w:style>
  <w:style w:type="paragraph" w:styleId="IntenseQuote">
    <w:name w:val="Intense Quote"/>
    <w:basedOn w:val="Normal"/>
    <w:next w:val="Normal"/>
    <w:link w:val="IntenseQuoteChar"/>
    <w:uiPriority w:val="30"/>
    <w:qFormat/>
    <w:rsid w:val="006E74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74E2"/>
    <w:rPr>
      <w:i/>
      <w:iCs/>
      <w:color w:val="0F4761" w:themeColor="accent1" w:themeShade="BF"/>
    </w:rPr>
  </w:style>
  <w:style w:type="character" w:styleId="IntenseReference">
    <w:name w:val="Intense Reference"/>
    <w:basedOn w:val="DefaultParagraphFont"/>
    <w:uiPriority w:val="32"/>
    <w:qFormat/>
    <w:rsid w:val="006E74E2"/>
    <w:rPr>
      <w:b/>
      <w:bCs/>
      <w:smallCaps/>
      <w:color w:val="0F4761" w:themeColor="accent1" w:themeShade="BF"/>
      <w:spacing w:val="5"/>
    </w:rPr>
  </w:style>
  <w:style w:type="table" w:styleId="TableGrid">
    <w:name w:val="Table Grid"/>
    <w:basedOn w:val="TableNormal"/>
    <w:uiPriority w:val="39"/>
    <w:rsid w:val="00995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1309</Words>
  <Characters>7463</Characters>
  <Application>Microsoft Office Word</Application>
  <DocSecurity>0</DocSecurity>
  <Lines>62</Lines>
  <Paragraphs>17</Paragraphs>
  <ScaleCrop>false</ScaleCrop>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Taberner</dc:creator>
  <cp:keywords/>
  <dc:description/>
  <cp:lastModifiedBy>Michael Crookes</cp:lastModifiedBy>
  <cp:revision>3</cp:revision>
  <dcterms:created xsi:type="dcterms:W3CDTF">2025-07-08T18:15:00Z</dcterms:created>
  <dcterms:modified xsi:type="dcterms:W3CDTF">2025-07-08T18:15:00Z</dcterms:modified>
</cp:coreProperties>
</file>